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D26D" w14:textId="5A5B3B6E" w:rsidR="00126ADF" w:rsidRPr="00126ADF" w:rsidRDefault="00126ADF" w:rsidP="00126ADF">
      <w:pPr>
        <w:pStyle w:val="Heading4"/>
        <w:ind w:left="111"/>
        <w:jc w:val="center"/>
        <w:rPr>
          <w:sz w:val="28"/>
          <w:szCs w:val="28"/>
        </w:rPr>
      </w:pPr>
      <w:r w:rsidRPr="00126ADF">
        <w:rPr>
          <w:sz w:val="28"/>
          <w:szCs w:val="28"/>
        </w:rPr>
        <w:t>Phase One: Specific Types of Employers/Activities</w:t>
      </w:r>
    </w:p>
    <w:p w14:paraId="7903C0C0" w14:textId="77777777" w:rsidR="00126ADF" w:rsidRDefault="00126ADF" w:rsidP="00126ADF">
      <w:pPr>
        <w:pStyle w:val="Heading4"/>
        <w:ind w:left="111"/>
        <w:jc w:val="center"/>
      </w:pPr>
    </w:p>
    <w:p w14:paraId="1B0D9FE1" w14:textId="77777777" w:rsidR="00126ADF" w:rsidRPr="0092211B" w:rsidRDefault="00126ADF" w:rsidP="0092211B">
      <w:pPr>
        <w:tabs>
          <w:tab w:val="left" w:pos="1191"/>
          <w:tab w:val="left" w:pos="1192"/>
        </w:tabs>
        <w:spacing w:line="293" w:lineRule="exact"/>
        <w:rPr>
          <w:b/>
          <w:bCs/>
          <w:sz w:val="24"/>
          <w:highlight w:val="yellow"/>
        </w:rPr>
      </w:pPr>
      <w:r w:rsidRPr="0092211B">
        <w:rPr>
          <w:b/>
          <w:bCs/>
          <w:sz w:val="24"/>
          <w:highlight w:val="yellow"/>
        </w:rPr>
        <w:t>Effective Sunday, April</w:t>
      </w:r>
      <w:r w:rsidRPr="0092211B">
        <w:rPr>
          <w:b/>
          <w:bCs/>
          <w:spacing w:val="-5"/>
          <w:sz w:val="24"/>
          <w:highlight w:val="yellow"/>
        </w:rPr>
        <w:t xml:space="preserve"> </w:t>
      </w:r>
      <w:r w:rsidRPr="0092211B">
        <w:rPr>
          <w:b/>
          <w:bCs/>
          <w:sz w:val="24"/>
          <w:highlight w:val="yellow"/>
        </w:rPr>
        <w:t>26:</w:t>
      </w:r>
    </w:p>
    <w:p w14:paraId="74BB388D" w14:textId="77777777" w:rsidR="00126ADF" w:rsidRDefault="00126ADF" w:rsidP="00126ADF">
      <w:pPr>
        <w:pStyle w:val="ListParagraph"/>
        <w:numPr>
          <w:ilvl w:val="1"/>
          <w:numId w:val="1"/>
        </w:numPr>
        <w:tabs>
          <w:tab w:val="left" w:pos="1552"/>
        </w:tabs>
        <w:spacing w:before="3" w:line="276" w:lineRule="exact"/>
        <w:ind w:right="657"/>
        <w:rPr>
          <w:sz w:val="24"/>
        </w:rPr>
      </w:pPr>
      <w:r>
        <w:rPr>
          <w:sz w:val="24"/>
        </w:rPr>
        <w:t>Places of worship can become operational with reduced capacity and where strict physical distancing protocols can be maintained between non-household</w:t>
      </w:r>
      <w:r>
        <w:rPr>
          <w:spacing w:val="-15"/>
          <w:sz w:val="24"/>
        </w:rPr>
        <w:t xml:space="preserve"> </w:t>
      </w:r>
      <w:r>
        <w:rPr>
          <w:sz w:val="24"/>
        </w:rPr>
        <w:t>members.</w:t>
      </w:r>
    </w:p>
    <w:p w14:paraId="4D7573CE" w14:textId="77777777" w:rsidR="00126ADF" w:rsidRDefault="00126ADF" w:rsidP="00126ADF">
      <w:pPr>
        <w:pStyle w:val="ListParagraph"/>
        <w:numPr>
          <w:ilvl w:val="2"/>
          <w:numId w:val="1"/>
        </w:numPr>
        <w:tabs>
          <w:tab w:val="left" w:pos="2271"/>
          <w:tab w:val="left" w:pos="2272"/>
        </w:tabs>
        <w:ind w:right="426"/>
        <w:rPr>
          <w:sz w:val="24"/>
        </w:rPr>
      </w:pPr>
      <w:r>
        <w:rPr>
          <w:sz w:val="24"/>
        </w:rPr>
        <w:t xml:space="preserve">Places of worship should avoid gathering in groups of more than </w:t>
      </w:r>
      <w:r w:rsidRPr="0092211B">
        <w:rPr>
          <w:b/>
          <w:bCs/>
          <w:sz w:val="24"/>
          <w:highlight w:val="yellow"/>
        </w:rPr>
        <w:t>10 people</w:t>
      </w:r>
      <w:r>
        <w:rPr>
          <w:sz w:val="24"/>
        </w:rPr>
        <w:t xml:space="preserve"> in circumstances that do not readily allow for appropriate physical</w:t>
      </w:r>
      <w:r>
        <w:rPr>
          <w:spacing w:val="-17"/>
          <w:sz w:val="24"/>
        </w:rPr>
        <w:t xml:space="preserve"> </w:t>
      </w:r>
      <w:r>
        <w:rPr>
          <w:sz w:val="24"/>
        </w:rPr>
        <w:t>distancing.</w:t>
      </w:r>
    </w:p>
    <w:p w14:paraId="2DE885F8" w14:textId="77777777" w:rsidR="00126ADF" w:rsidRDefault="00126ADF" w:rsidP="00126ADF">
      <w:pPr>
        <w:pStyle w:val="BodyText"/>
        <w:spacing w:before="2"/>
      </w:pPr>
    </w:p>
    <w:p w14:paraId="4C6856A8" w14:textId="77777777" w:rsidR="00126ADF" w:rsidRPr="0092211B" w:rsidRDefault="00126ADF" w:rsidP="0092211B">
      <w:pPr>
        <w:tabs>
          <w:tab w:val="left" w:pos="1191"/>
          <w:tab w:val="left" w:pos="1192"/>
        </w:tabs>
        <w:spacing w:before="1" w:line="294" w:lineRule="exact"/>
        <w:rPr>
          <w:b/>
          <w:bCs/>
          <w:sz w:val="24"/>
          <w:highlight w:val="yellow"/>
        </w:rPr>
      </w:pPr>
      <w:r w:rsidRPr="0092211B">
        <w:rPr>
          <w:b/>
          <w:bCs/>
          <w:sz w:val="24"/>
          <w:highlight w:val="yellow"/>
        </w:rPr>
        <w:t>Effective Monday, April</w:t>
      </w:r>
      <w:r w:rsidRPr="0092211B">
        <w:rPr>
          <w:b/>
          <w:bCs/>
          <w:spacing w:val="-5"/>
          <w:sz w:val="24"/>
          <w:highlight w:val="yellow"/>
        </w:rPr>
        <w:t xml:space="preserve"> </w:t>
      </w:r>
      <w:r w:rsidRPr="0092211B">
        <w:rPr>
          <w:b/>
          <w:bCs/>
          <w:sz w:val="24"/>
          <w:highlight w:val="yellow"/>
        </w:rPr>
        <w:t>27:</w:t>
      </w:r>
    </w:p>
    <w:p w14:paraId="59D14385" w14:textId="77777777" w:rsidR="00126ADF" w:rsidRDefault="00126ADF" w:rsidP="00126ADF">
      <w:pPr>
        <w:pStyle w:val="ListParagraph"/>
        <w:numPr>
          <w:ilvl w:val="1"/>
          <w:numId w:val="1"/>
        </w:numPr>
        <w:tabs>
          <w:tab w:val="left" w:pos="1552"/>
        </w:tabs>
        <w:spacing w:before="3" w:line="276" w:lineRule="exact"/>
        <w:ind w:right="537"/>
        <w:rPr>
          <w:sz w:val="24"/>
        </w:rPr>
      </w:pPr>
      <w:r>
        <w:rPr>
          <w:sz w:val="24"/>
        </w:rPr>
        <w:t xml:space="preserve">Main Street and retail businesses can become operational with </w:t>
      </w:r>
      <w:r w:rsidRPr="00126ADF">
        <w:rPr>
          <w:sz w:val="24"/>
          <w:highlight w:val="yellow"/>
        </w:rPr>
        <w:t>reduced capacity</w:t>
      </w:r>
      <w:r>
        <w:rPr>
          <w:spacing w:val="-18"/>
          <w:sz w:val="24"/>
        </w:rPr>
        <w:t xml:space="preserve"> </w:t>
      </w:r>
      <w:r>
        <w:rPr>
          <w:sz w:val="24"/>
        </w:rPr>
        <w:t>and where strict physical distancing protocols can be</w:t>
      </w:r>
      <w:r>
        <w:rPr>
          <w:spacing w:val="-12"/>
          <w:sz w:val="24"/>
        </w:rPr>
        <w:t xml:space="preserve"> </w:t>
      </w:r>
      <w:r>
        <w:rPr>
          <w:sz w:val="24"/>
        </w:rPr>
        <w:t>maintained.</w:t>
      </w:r>
    </w:p>
    <w:p w14:paraId="4C183303" w14:textId="77777777" w:rsidR="00126ADF" w:rsidRDefault="00126ADF" w:rsidP="00126ADF">
      <w:pPr>
        <w:pStyle w:val="ListParagraph"/>
        <w:numPr>
          <w:ilvl w:val="2"/>
          <w:numId w:val="1"/>
        </w:numPr>
        <w:tabs>
          <w:tab w:val="left" w:pos="2271"/>
          <w:tab w:val="left" w:pos="2272"/>
        </w:tabs>
        <w:ind w:right="387"/>
        <w:rPr>
          <w:sz w:val="24"/>
        </w:rPr>
      </w:pPr>
      <w:r>
        <w:rPr>
          <w:sz w:val="24"/>
        </w:rPr>
        <w:t>Businesses that reopen must adhere to the reopening guidelines for Phase One provided in Appendix A,</w:t>
      </w:r>
      <w:r>
        <w:rPr>
          <w:spacing w:val="-7"/>
          <w:sz w:val="24"/>
        </w:rPr>
        <w:t xml:space="preserve"> </w:t>
      </w:r>
      <w:r>
        <w:rPr>
          <w:sz w:val="24"/>
        </w:rPr>
        <w:t>attached.</w:t>
      </w:r>
    </w:p>
    <w:p w14:paraId="5769D0EE" w14:textId="77777777" w:rsidR="00126ADF" w:rsidRDefault="00126ADF" w:rsidP="00126ADF">
      <w:pPr>
        <w:pStyle w:val="ListParagraph"/>
        <w:numPr>
          <w:ilvl w:val="1"/>
          <w:numId w:val="1"/>
        </w:numPr>
        <w:tabs>
          <w:tab w:val="left" w:pos="1552"/>
        </w:tabs>
        <w:spacing w:before="6" w:line="276" w:lineRule="exact"/>
        <w:ind w:right="342"/>
        <w:rPr>
          <w:sz w:val="24"/>
        </w:rPr>
      </w:pPr>
      <w:r>
        <w:rPr>
          <w:sz w:val="24"/>
        </w:rPr>
        <w:t xml:space="preserve">Outdoor recreation can become operational if sites adhere to strict </w:t>
      </w:r>
      <w:r w:rsidRPr="00126ADF">
        <w:rPr>
          <w:sz w:val="24"/>
          <w:highlight w:val="yellow"/>
        </w:rPr>
        <w:t>physical distancing</w:t>
      </w:r>
      <w:r>
        <w:rPr>
          <w:sz w:val="24"/>
        </w:rPr>
        <w:t xml:space="preserve"> between groups and </w:t>
      </w:r>
      <w:r w:rsidRPr="00126ADF">
        <w:rPr>
          <w:sz w:val="24"/>
          <w:highlight w:val="yellow"/>
        </w:rPr>
        <w:t>exercise frequent sanitation protocols</w:t>
      </w:r>
      <w:r>
        <w:rPr>
          <w:sz w:val="24"/>
        </w:rPr>
        <w:t xml:space="preserve"> if public facilities are</w:t>
      </w:r>
      <w:r>
        <w:rPr>
          <w:spacing w:val="-17"/>
          <w:sz w:val="24"/>
        </w:rPr>
        <w:t xml:space="preserve"> </w:t>
      </w:r>
      <w:r>
        <w:rPr>
          <w:sz w:val="24"/>
        </w:rPr>
        <w:t>open.</w:t>
      </w:r>
    </w:p>
    <w:p w14:paraId="1181284F" w14:textId="77777777" w:rsidR="00126ADF" w:rsidRDefault="00126ADF" w:rsidP="00126ADF">
      <w:pPr>
        <w:pStyle w:val="ListParagraph"/>
        <w:numPr>
          <w:ilvl w:val="2"/>
          <w:numId w:val="1"/>
        </w:numPr>
        <w:tabs>
          <w:tab w:val="left" w:pos="2271"/>
          <w:tab w:val="left" w:pos="2272"/>
        </w:tabs>
        <w:ind w:right="273"/>
        <w:rPr>
          <w:sz w:val="24"/>
        </w:rPr>
      </w:pPr>
      <w:r>
        <w:rPr>
          <w:sz w:val="24"/>
        </w:rPr>
        <w:t>Individuals and businesses engaged in outdoor recreation must adhere to the outdoor recreation guidelines for Phase One provided in Appendix A,</w:t>
      </w:r>
      <w:r>
        <w:rPr>
          <w:spacing w:val="-12"/>
          <w:sz w:val="24"/>
        </w:rPr>
        <w:t xml:space="preserve"> </w:t>
      </w:r>
      <w:r>
        <w:rPr>
          <w:sz w:val="24"/>
        </w:rPr>
        <w:t>attached.</w:t>
      </w:r>
    </w:p>
    <w:p w14:paraId="22F41D1E" w14:textId="77777777" w:rsidR="00126ADF" w:rsidRDefault="00126ADF" w:rsidP="00126ADF">
      <w:pPr>
        <w:pStyle w:val="ListParagraph"/>
        <w:numPr>
          <w:ilvl w:val="1"/>
          <w:numId w:val="1"/>
        </w:numPr>
        <w:tabs>
          <w:tab w:val="left" w:pos="1552"/>
        </w:tabs>
        <w:spacing w:before="7" w:line="276" w:lineRule="exact"/>
        <w:ind w:right="549"/>
        <w:rPr>
          <w:sz w:val="24"/>
        </w:rPr>
      </w:pPr>
      <w:r>
        <w:rPr>
          <w:sz w:val="24"/>
        </w:rPr>
        <w:t>Organized youth activities can consider becoming operational if physical</w:t>
      </w:r>
      <w:r>
        <w:rPr>
          <w:spacing w:val="-16"/>
          <w:sz w:val="24"/>
        </w:rPr>
        <w:t xml:space="preserve"> </w:t>
      </w:r>
      <w:r>
        <w:rPr>
          <w:sz w:val="24"/>
        </w:rPr>
        <w:t>distancing guidelines can be</w:t>
      </w:r>
      <w:r>
        <w:rPr>
          <w:spacing w:val="-6"/>
          <w:sz w:val="24"/>
        </w:rPr>
        <w:t xml:space="preserve"> </w:t>
      </w:r>
      <w:r>
        <w:rPr>
          <w:sz w:val="24"/>
        </w:rPr>
        <w:t>implemented.</w:t>
      </w:r>
    </w:p>
    <w:p w14:paraId="0A0DC724" w14:textId="77777777" w:rsidR="00126ADF" w:rsidRDefault="00126ADF" w:rsidP="00126ADF">
      <w:pPr>
        <w:pStyle w:val="ListParagraph"/>
        <w:numPr>
          <w:ilvl w:val="2"/>
          <w:numId w:val="1"/>
        </w:numPr>
        <w:tabs>
          <w:tab w:val="left" w:pos="2271"/>
          <w:tab w:val="left" w:pos="2272"/>
        </w:tabs>
        <w:ind w:right="549"/>
        <w:rPr>
          <w:sz w:val="24"/>
        </w:rPr>
      </w:pPr>
      <w:r>
        <w:rPr>
          <w:sz w:val="24"/>
        </w:rPr>
        <w:t>Organized youth activities should avoid gathering in groups of more than</w:t>
      </w:r>
      <w:r>
        <w:rPr>
          <w:spacing w:val="-13"/>
          <w:sz w:val="24"/>
        </w:rPr>
        <w:t xml:space="preserve"> </w:t>
      </w:r>
      <w:r>
        <w:rPr>
          <w:sz w:val="24"/>
        </w:rPr>
        <w:t>10 people in circumstances that do not readily allow for appropriate physical distancing.</w:t>
      </w:r>
    </w:p>
    <w:p w14:paraId="4D9D6F3E" w14:textId="77777777" w:rsidR="00126ADF" w:rsidRDefault="00126ADF" w:rsidP="00126ADF">
      <w:pPr>
        <w:pStyle w:val="BodyText"/>
        <w:spacing w:before="2"/>
      </w:pPr>
    </w:p>
    <w:p w14:paraId="2BC17C16" w14:textId="77777777" w:rsidR="00126ADF" w:rsidRPr="0092211B" w:rsidRDefault="00126ADF" w:rsidP="0092211B">
      <w:pPr>
        <w:tabs>
          <w:tab w:val="left" w:pos="1191"/>
          <w:tab w:val="left" w:pos="1192"/>
        </w:tabs>
        <w:spacing w:before="1" w:line="294" w:lineRule="exact"/>
        <w:rPr>
          <w:b/>
          <w:bCs/>
          <w:sz w:val="24"/>
          <w:highlight w:val="yellow"/>
        </w:rPr>
      </w:pPr>
      <w:r w:rsidRPr="0092211B">
        <w:rPr>
          <w:b/>
          <w:bCs/>
          <w:sz w:val="24"/>
          <w:highlight w:val="yellow"/>
        </w:rPr>
        <w:t>Effective Monday, May</w:t>
      </w:r>
      <w:r w:rsidRPr="0092211B">
        <w:rPr>
          <w:b/>
          <w:bCs/>
          <w:spacing w:val="-4"/>
          <w:sz w:val="24"/>
          <w:highlight w:val="yellow"/>
        </w:rPr>
        <w:t xml:space="preserve"> </w:t>
      </w:r>
      <w:r w:rsidRPr="0092211B">
        <w:rPr>
          <w:b/>
          <w:bCs/>
          <w:sz w:val="24"/>
          <w:highlight w:val="yellow"/>
        </w:rPr>
        <w:t>4:</w:t>
      </w:r>
    </w:p>
    <w:p w14:paraId="38C2144F" w14:textId="77777777" w:rsidR="00126ADF" w:rsidRDefault="00126ADF" w:rsidP="00126ADF">
      <w:pPr>
        <w:pStyle w:val="ListParagraph"/>
        <w:numPr>
          <w:ilvl w:val="1"/>
          <w:numId w:val="1"/>
        </w:numPr>
        <w:tabs>
          <w:tab w:val="left" w:pos="1552"/>
        </w:tabs>
        <w:spacing w:before="3" w:line="276" w:lineRule="exact"/>
        <w:ind w:right="162"/>
        <w:rPr>
          <w:sz w:val="24"/>
        </w:rPr>
      </w:pPr>
      <w:r>
        <w:rPr>
          <w:sz w:val="24"/>
        </w:rPr>
        <w:t>Restaurants, bars, breweries, distilleries, and casinos can become operational on or after May 4, 2020 under strict physical distancing and reduced capacity protocols in accordance with State</w:t>
      </w:r>
      <w:r>
        <w:rPr>
          <w:spacing w:val="-9"/>
          <w:sz w:val="24"/>
        </w:rPr>
        <w:t xml:space="preserve"> </w:t>
      </w:r>
      <w:r>
        <w:rPr>
          <w:sz w:val="24"/>
        </w:rPr>
        <w:t>guidelines.</w:t>
      </w:r>
    </w:p>
    <w:p w14:paraId="0891FD02" w14:textId="77777777" w:rsidR="00126ADF" w:rsidRDefault="00126ADF" w:rsidP="00126ADF">
      <w:pPr>
        <w:pStyle w:val="ListParagraph"/>
        <w:numPr>
          <w:ilvl w:val="2"/>
          <w:numId w:val="1"/>
        </w:numPr>
        <w:tabs>
          <w:tab w:val="left" w:pos="2271"/>
          <w:tab w:val="left" w:pos="2272"/>
        </w:tabs>
        <w:ind w:right="112"/>
        <w:rPr>
          <w:sz w:val="24"/>
        </w:rPr>
      </w:pPr>
      <w:r>
        <w:rPr>
          <w:sz w:val="24"/>
        </w:rPr>
        <w:t>These businesses will be required to close their doors and have all patrons out by 11:30 p.m. Breweries and distilleries shall follow existing laws on closing</w:t>
      </w:r>
      <w:r>
        <w:rPr>
          <w:spacing w:val="-17"/>
          <w:sz w:val="24"/>
        </w:rPr>
        <w:t xml:space="preserve"> </w:t>
      </w:r>
      <w:r>
        <w:rPr>
          <w:sz w:val="24"/>
        </w:rPr>
        <w:t>time.</w:t>
      </w:r>
    </w:p>
    <w:p w14:paraId="63A3F530" w14:textId="77777777" w:rsidR="00126ADF" w:rsidRDefault="00126ADF" w:rsidP="00126ADF">
      <w:pPr>
        <w:pStyle w:val="ListParagraph"/>
        <w:numPr>
          <w:ilvl w:val="2"/>
          <w:numId w:val="1"/>
        </w:numPr>
        <w:tabs>
          <w:tab w:val="left" w:pos="2271"/>
          <w:tab w:val="left" w:pos="2272"/>
        </w:tabs>
        <w:spacing w:before="3"/>
        <w:ind w:right="190"/>
        <w:rPr>
          <w:sz w:val="24"/>
        </w:rPr>
      </w:pPr>
      <w:r>
        <w:rPr>
          <w:sz w:val="24"/>
        </w:rPr>
        <w:t>The expansions for delivery and takeout services, as provided both in the</w:t>
      </w:r>
      <w:r>
        <w:rPr>
          <w:spacing w:val="-14"/>
          <w:sz w:val="24"/>
        </w:rPr>
        <w:t xml:space="preserve"> </w:t>
      </w:r>
      <w:r>
        <w:rPr>
          <w:sz w:val="24"/>
        </w:rPr>
        <w:t>March 24 and March 26 Directives, are extended through the end of the</w:t>
      </w:r>
      <w:r>
        <w:rPr>
          <w:spacing w:val="-13"/>
          <w:sz w:val="24"/>
        </w:rPr>
        <w:t xml:space="preserve"> </w:t>
      </w:r>
      <w:r>
        <w:rPr>
          <w:sz w:val="24"/>
        </w:rPr>
        <w:t>emergency.</w:t>
      </w:r>
    </w:p>
    <w:p w14:paraId="24022CDF" w14:textId="77777777" w:rsidR="00126ADF" w:rsidRDefault="00126ADF" w:rsidP="00126ADF">
      <w:pPr>
        <w:pStyle w:val="ListParagraph"/>
        <w:numPr>
          <w:ilvl w:val="2"/>
          <w:numId w:val="1"/>
        </w:numPr>
        <w:tabs>
          <w:tab w:val="left" w:pos="2272"/>
        </w:tabs>
        <w:ind w:right="623"/>
        <w:jc w:val="both"/>
        <w:rPr>
          <w:sz w:val="24"/>
        </w:rPr>
      </w:pPr>
      <w:r>
        <w:rPr>
          <w:sz w:val="24"/>
        </w:rPr>
        <w:t>In addition, restaurants, bars, breweries, distilleries, and casinos that</w:t>
      </w:r>
      <w:r>
        <w:rPr>
          <w:spacing w:val="-18"/>
          <w:sz w:val="24"/>
        </w:rPr>
        <w:t xml:space="preserve"> </w:t>
      </w:r>
      <w:r>
        <w:rPr>
          <w:sz w:val="24"/>
        </w:rPr>
        <w:t>reopen must adhere to the general and specific guidelines provided in Appendix A, attached.</w:t>
      </w:r>
    </w:p>
    <w:p w14:paraId="02803936" w14:textId="77777777" w:rsidR="00126ADF" w:rsidRDefault="00126ADF" w:rsidP="00126ADF">
      <w:pPr>
        <w:pStyle w:val="BodyText"/>
        <w:spacing w:before="11"/>
        <w:rPr>
          <w:sz w:val="23"/>
        </w:rPr>
      </w:pPr>
    </w:p>
    <w:p w14:paraId="2D162F2D" w14:textId="3DA46E36" w:rsidR="00CE29E9" w:rsidRDefault="00126ADF" w:rsidP="00126ADF">
      <w:pPr>
        <w:rPr>
          <w:sz w:val="24"/>
        </w:rPr>
      </w:pPr>
      <w:r w:rsidRPr="000D675F">
        <w:rPr>
          <w:b/>
          <w:bCs/>
          <w:sz w:val="24"/>
        </w:rPr>
        <w:t>Effective immediately through the end of the emergency, unless modified</w:t>
      </w:r>
      <w:r w:rsidR="000D675F">
        <w:rPr>
          <w:b/>
          <w:bCs/>
          <w:sz w:val="24"/>
        </w:rPr>
        <w:t xml:space="preserve"> through Directive</w:t>
      </w:r>
    </w:p>
    <w:p w14:paraId="3E0969FA" w14:textId="77777777" w:rsidR="00126ADF" w:rsidRDefault="00126ADF" w:rsidP="00126ADF">
      <w:pPr>
        <w:pStyle w:val="ListParagraph"/>
        <w:numPr>
          <w:ilvl w:val="1"/>
          <w:numId w:val="1"/>
        </w:numPr>
        <w:tabs>
          <w:tab w:val="left" w:pos="1552"/>
        </w:tabs>
        <w:spacing w:line="286" w:lineRule="exact"/>
        <w:rPr>
          <w:sz w:val="24"/>
        </w:rPr>
      </w:pPr>
      <w:r>
        <w:rPr>
          <w:sz w:val="24"/>
        </w:rPr>
        <w:t xml:space="preserve">Gyms, pools, and hot tubs </w:t>
      </w:r>
      <w:r w:rsidRPr="0092211B">
        <w:rPr>
          <w:b/>
          <w:bCs/>
          <w:sz w:val="24"/>
          <w:highlight w:val="yellow"/>
        </w:rPr>
        <w:t>remain</w:t>
      </w:r>
      <w:r w:rsidRPr="0092211B">
        <w:rPr>
          <w:b/>
          <w:bCs/>
          <w:spacing w:val="-7"/>
          <w:sz w:val="24"/>
          <w:highlight w:val="yellow"/>
        </w:rPr>
        <w:t xml:space="preserve"> </w:t>
      </w:r>
      <w:r w:rsidRPr="0092211B">
        <w:rPr>
          <w:b/>
          <w:bCs/>
          <w:sz w:val="24"/>
          <w:highlight w:val="yellow"/>
        </w:rPr>
        <w:t>closed.</w:t>
      </w:r>
      <w:bookmarkStart w:id="0" w:name="_GoBack"/>
      <w:bookmarkEnd w:id="0"/>
    </w:p>
    <w:p w14:paraId="0A3364E1" w14:textId="77777777" w:rsidR="00126ADF" w:rsidRDefault="00126ADF" w:rsidP="00126ADF">
      <w:pPr>
        <w:pStyle w:val="ListParagraph"/>
        <w:numPr>
          <w:ilvl w:val="1"/>
          <w:numId w:val="1"/>
        </w:numPr>
        <w:tabs>
          <w:tab w:val="left" w:pos="1552"/>
        </w:tabs>
        <w:spacing w:before="6" w:line="223" w:lineRule="auto"/>
        <w:ind w:right="271"/>
        <w:rPr>
          <w:sz w:val="24"/>
        </w:rPr>
      </w:pPr>
      <w:r>
        <w:rPr>
          <w:sz w:val="24"/>
        </w:rPr>
        <w:t>Other places of assembly remain closed (</w:t>
      </w:r>
      <w:r>
        <w:rPr>
          <w:i/>
          <w:sz w:val="24"/>
        </w:rPr>
        <w:t>e.g.</w:t>
      </w:r>
      <w:r>
        <w:rPr>
          <w:sz w:val="24"/>
        </w:rPr>
        <w:t>, movie and performance theaters,</w:t>
      </w:r>
      <w:r>
        <w:rPr>
          <w:spacing w:val="-18"/>
          <w:sz w:val="24"/>
        </w:rPr>
        <w:t xml:space="preserve"> </w:t>
      </w:r>
      <w:r>
        <w:rPr>
          <w:sz w:val="24"/>
        </w:rPr>
        <w:t>concert halls, bowling alleys, bingo halls, and music</w:t>
      </w:r>
      <w:r>
        <w:rPr>
          <w:spacing w:val="-10"/>
          <w:sz w:val="24"/>
        </w:rPr>
        <w:t xml:space="preserve"> </w:t>
      </w:r>
      <w:r>
        <w:rPr>
          <w:sz w:val="24"/>
        </w:rPr>
        <w:t>halls).</w:t>
      </w:r>
    </w:p>
    <w:p w14:paraId="3D94C9F6" w14:textId="7F8A7EFA" w:rsidR="00126ADF" w:rsidRPr="00126ADF" w:rsidRDefault="00126ADF" w:rsidP="00126ADF">
      <w:pPr>
        <w:pStyle w:val="ListParagraph"/>
        <w:numPr>
          <w:ilvl w:val="1"/>
          <w:numId w:val="1"/>
        </w:numPr>
        <w:tabs>
          <w:tab w:val="left" w:pos="1552"/>
        </w:tabs>
        <w:spacing w:before="11" w:line="276" w:lineRule="exact"/>
        <w:ind w:right="363"/>
        <w:rPr>
          <w:sz w:val="19"/>
        </w:rPr>
      </w:pPr>
      <w:r>
        <w:rPr>
          <w:sz w:val="24"/>
        </w:rPr>
        <w:t>Senior living or assisted living facilities must continue to prohibit visitors. Those</w:t>
      </w:r>
      <w:r w:rsidRPr="00126ADF">
        <w:rPr>
          <w:spacing w:val="-20"/>
          <w:sz w:val="24"/>
        </w:rPr>
        <w:t xml:space="preserve"> </w:t>
      </w:r>
      <w:r>
        <w:rPr>
          <w:sz w:val="24"/>
        </w:rPr>
        <w:t>who do interact with residents and patients must ensure strict protocols regarding hygiene and protection are</w:t>
      </w:r>
      <w:r w:rsidRPr="00126ADF">
        <w:rPr>
          <w:spacing w:val="-6"/>
          <w:sz w:val="24"/>
        </w:rPr>
        <w:t xml:space="preserve"> </w:t>
      </w:r>
      <w:r>
        <w:rPr>
          <w:sz w:val="24"/>
        </w:rPr>
        <w:t>followed.</w:t>
      </w:r>
    </w:p>
    <w:p w14:paraId="1014BD2F" w14:textId="77777777" w:rsidR="00126ADF" w:rsidRDefault="00126ADF" w:rsidP="00126ADF">
      <w:pPr>
        <w:pStyle w:val="ListParagraph"/>
        <w:numPr>
          <w:ilvl w:val="2"/>
          <w:numId w:val="1"/>
        </w:numPr>
        <w:tabs>
          <w:tab w:val="left" w:pos="2271"/>
          <w:tab w:val="left" w:pos="2272"/>
        </w:tabs>
        <w:spacing w:before="91"/>
        <w:ind w:right="344"/>
        <w:rPr>
          <w:sz w:val="24"/>
        </w:rPr>
      </w:pPr>
      <w:r>
        <w:rPr>
          <w:sz w:val="24"/>
        </w:rPr>
        <w:t>This includes daily screening of staff for symptoms and preventing ill</w:t>
      </w:r>
      <w:r>
        <w:rPr>
          <w:spacing w:val="-18"/>
          <w:sz w:val="24"/>
        </w:rPr>
        <w:t xml:space="preserve"> </w:t>
      </w:r>
      <w:r>
        <w:rPr>
          <w:sz w:val="24"/>
        </w:rPr>
        <w:t>workers from</w:t>
      </w:r>
      <w:r>
        <w:rPr>
          <w:spacing w:val="-4"/>
          <w:sz w:val="24"/>
        </w:rPr>
        <w:t xml:space="preserve"> </w:t>
      </w:r>
      <w:r>
        <w:rPr>
          <w:sz w:val="24"/>
        </w:rPr>
        <w:t>working.</w:t>
      </w:r>
    </w:p>
    <w:p w14:paraId="06AA6D40" w14:textId="77777777" w:rsidR="00126ADF" w:rsidRDefault="00126ADF" w:rsidP="00126ADF">
      <w:pPr>
        <w:pStyle w:val="ListParagraph"/>
        <w:numPr>
          <w:ilvl w:val="1"/>
          <w:numId w:val="1"/>
        </w:numPr>
        <w:tabs>
          <w:tab w:val="left" w:pos="1552"/>
        </w:tabs>
        <w:spacing w:before="2" w:line="276" w:lineRule="exact"/>
        <w:ind w:right="215"/>
        <w:rPr>
          <w:sz w:val="24"/>
        </w:rPr>
      </w:pPr>
      <w:r>
        <w:rPr>
          <w:sz w:val="24"/>
        </w:rPr>
        <w:t>Child care facilities can remain operational but should follow state and local guidelines regarding operational levels and occupancy. The operational requirements in the April 1, 2020 Directive on child care remain in</w:t>
      </w:r>
      <w:r>
        <w:rPr>
          <w:spacing w:val="-10"/>
          <w:sz w:val="24"/>
        </w:rPr>
        <w:t xml:space="preserve"> </w:t>
      </w:r>
      <w:r>
        <w:rPr>
          <w:sz w:val="24"/>
        </w:rPr>
        <w:t>effect.</w:t>
      </w:r>
    </w:p>
    <w:p w14:paraId="532DD411" w14:textId="77777777" w:rsidR="00126ADF" w:rsidRDefault="00126ADF" w:rsidP="00126ADF">
      <w:pPr>
        <w:pStyle w:val="BodyText"/>
        <w:spacing w:before="7"/>
        <w:rPr>
          <w:sz w:val="23"/>
        </w:rPr>
      </w:pPr>
    </w:p>
    <w:p w14:paraId="53D9C144" w14:textId="77777777" w:rsidR="00126ADF" w:rsidRDefault="00126ADF" w:rsidP="00126ADF"/>
    <w:sectPr w:rsidR="00126ADF" w:rsidSect="00126A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7C9B" w14:textId="77777777" w:rsidR="000D675F" w:rsidRDefault="000D675F" w:rsidP="000D675F">
      <w:r>
        <w:separator/>
      </w:r>
    </w:p>
  </w:endnote>
  <w:endnote w:type="continuationSeparator" w:id="0">
    <w:p w14:paraId="5A52A4A3" w14:textId="77777777" w:rsidR="000D675F" w:rsidRDefault="000D675F" w:rsidP="000D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BCF6B" w14:textId="77777777" w:rsidR="000D675F" w:rsidRDefault="000D675F" w:rsidP="000D675F">
      <w:r>
        <w:separator/>
      </w:r>
    </w:p>
  </w:footnote>
  <w:footnote w:type="continuationSeparator" w:id="0">
    <w:p w14:paraId="5A228A4B" w14:textId="77777777" w:rsidR="000D675F" w:rsidRDefault="000D675F" w:rsidP="000D6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81203"/>
    <w:multiLevelType w:val="hybridMultilevel"/>
    <w:tmpl w:val="4DD2E5E0"/>
    <w:lvl w:ilvl="0" w:tplc="42CE4CB6">
      <w:numFmt w:val="bullet"/>
      <w:lvlText w:val=""/>
      <w:lvlJc w:val="left"/>
      <w:pPr>
        <w:ind w:left="471" w:hanging="360"/>
      </w:pPr>
      <w:rPr>
        <w:rFonts w:ascii="Symbol" w:eastAsia="Symbol" w:hAnsi="Symbol" w:cs="Symbol" w:hint="default"/>
        <w:w w:val="100"/>
        <w:sz w:val="24"/>
        <w:szCs w:val="24"/>
      </w:rPr>
    </w:lvl>
    <w:lvl w:ilvl="1" w:tplc="468E4208">
      <w:numFmt w:val="bullet"/>
      <w:lvlText w:val="o"/>
      <w:lvlJc w:val="left"/>
      <w:pPr>
        <w:ind w:left="831" w:hanging="360"/>
      </w:pPr>
      <w:rPr>
        <w:rFonts w:ascii="Courier New" w:eastAsia="Courier New" w:hAnsi="Courier New" w:cs="Courier New" w:hint="default"/>
        <w:w w:val="100"/>
        <w:sz w:val="24"/>
        <w:szCs w:val="24"/>
      </w:rPr>
    </w:lvl>
    <w:lvl w:ilvl="2" w:tplc="8304AEDC">
      <w:numFmt w:val="bullet"/>
      <w:lvlText w:val=""/>
      <w:lvlJc w:val="left"/>
      <w:pPr>
        <w:ind w:left="1551" w:hanging="360"/>
      </w:pPr>
      <w:rPr>
        <w:rFonts w:ascii="Wingdings" w:eastAsia="Wingdings" w:hAnsi="Wingdings" w:cs="Wingdings" w:hint="default"/>
        <w:w w:val="100"/>
        <w:sz w:val="24"/>
        <w:szCs w:val="24"/>
      </w:rPr>
    </w:lvl>
    <w:lvl w:ilvl="3" w:tplc="AD8C733A">
      <w:numFmt w:val="bullet"/>
      <w:lvlText w:val="•"/>
      <w:lvlJc w:val="left"/>
      <w:pPr>
        <w:ind w:left="2541" w:hanging="360"/>
      </w:pPr>
      <w:rPr>
        <w:rFonts w:hint="default"/>
      </w:rPr>
    </w:lvl>
    <w:lvl w:ilvl="4" w:tplc="FD065426">
      <w:numFmt w:val="bullet"/>
      <w:lvlText w:val="•"/>
      <w:lvlJc w:val="left"/>
      <w:pPr>
        <w:ind w:left="3524" w:hanging="360"/>
      </w:pPr>
      <w:rPr>
        <w:rFonts w:hint="default"/>
      </w:rPr>
    </w:lvl>
    <w:lvl w:ilvl="5" w:tplc="CB4002EC">
      <w:numFmt w:val="bullet"/>
      <w:lvlText w:val="•"/>
      <w:lvlJc w:val="left"/>
      <w:pPr>
        <w:ind w:left="4506" w:hanging="360"/>
      </w:pPr>
      <w:rPr>
        <w:rFonts w:hint="default"/>
      </w:rPr>
    </w:lvl>
    <w:lvl w:ilvl="6" w:tplc="6C6CD0CE">
      <w:numFmt w:val="bullet"/>
      <w:lvlText w:val="•"/>
      <w:lvlJc w:val="left"/>
      <w:pPr>
        <w:ind w:left="5489" w:hanging="360"/>
      </w:pPr>
      <w:rPr>
        <w:rFonts w:hint="default"/>
      </w:rPr>
    </w:lvl>
    <w:lvl w:ilvl="7" w:tplc="19CC173A">
      <w:numFmt w:val="bullet"/>
      <w:lvlText w:val="•"/>
      <w:lvlJc w:val="left"/>
      <w:pPr>
        <w:ind w:left="6471" w:hanging="360"/>
      </w:pPr>
      <w:rPr>
        <w:rFonts w:hint="default"/>
      </w:rPr>
    </w:lvl>
    <w:lvl w:ilvl="8" w:tplc="7B4EE8C6">
      <w:numFmt w:val="bullet"/>
      <w:lvlText w:val="•"/>
      <w:lvlJc w:val="left"/>
      <w:pPr>
        <w:ind w:left="745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DF"/>
    <w:rsid w:val="000D675F"/>
    <w:rsid w:val="00126ADF"/>
    <w:rsid w:val="0092211B"/>
    <w:rsid w:val="00CE29E9"/>
    <w:rsid w:val="00D9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C9A5A"/>
  <w15:chartTrackingRefBased/>
  <w15:docId w15:val="{00C8F6DC-19BB-42AD-A29E-7FCA15D1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DF"/>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9"/>
    <w:unhideWhenUsed/>
    <w:qFormat/>
    <w:rsid w:val="00126ADF"/>
    <w:pPr>
      <w:spacing w:line="276" w:lineRule="exact"/>
      <w:ind w:left="11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6AD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26ADF"/>
    <w:rPr>
      <w:sz w:val="24"/>
      <w:szCs w:val="24"/>
    </w:rPr>
  </w:style>
  <w:style w:type="character" w:customStyle="1" w:styleId="BodyTextChar">
    <w:name w:val="Body Text Char"/>
    <w:basedOn w:val="DefaultParagraphFont"/>
    <w:link w:val="BodyText"/>
    <w:uiPriority w:val="1"/>
    <w:rsid w:val="00126ADF"/>
    <w:rPr>
      <w:rFonts w:ascii="Times New Roman" w:eastAsia="Times New Roman" w:hAnsi="Times New Roman" w:cs="Times New Roman"/>
      <w:sz w:val="24"/>
      <w:szCs w:val="24"/>
    </w:rPr>
  </w:style>
  <w:style w:type="paragraph" w:styleId="ListParagraph">
    <w:name w:val="List Paragraph"/>
    <w:basedOn w:val="Normal"/>
    <w:uiPriority w:val="1"/>
    <w:qFormat/>
    <w:rsid w:val="00126ADF"/>
    <w:pPr>
      <w:ind w:left="64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643EB88D8624FB170980AF5D347DC" ma:contentTypeVersion="12" ma:contentTypeDescription="Create a new document." ma:contentTypeScope="" ma:versionID="490ffbdbe3312831fdd73e9c6fc03050">
  <xsd:schema xmlns:xsd="http://www.w3.org/2001/XMLSchema" xmlns:xs="http://www.w3.org/2001/XMLSchema" xmlns:p="http://schemas.microsoft.com/office/2006/metadata/properties" xmlns:ns3="5617d362-937f-471c-88bb-70029562a13b" xmlns:ns4="d558da6f-dfd3-4433-a0eb-1871dcc76b7f" targetNamespace="http://schemas.microsoft.com/office/2006/metadata/properties" ma:root="true" ma:fieldsID="d7e6c29be26f0c2c0c46c55c9545be2d" ns3:_="" ns4:_="">
    <xsd:import namespace="5617d362-937f-471c-88bb-70029562a13b"/>
    <xsd:import namespace="d558da6f-dfd3-4433-a0eb-1871dcc76b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7d362-937f-471c-88bb-70029562a1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8da6f-dfd3-4433-a0eb-1871dcc76b7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01AD2-E0AD-47F9-9695-FD3887AA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7d362-937f-471c-88bb-70029562a13b"/>
    <ds:schemaRef ds:uri="d558da6f-dfd3-4433-a0eb-1871dcc7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BB4D0-99F8-4545-AFF8-6B11D44B8A89}">
  <ds:schemaRefs>
    <ds:schemaRef ds:uri="http://schemas.microsoft.com/sharepoint/v3/contenttype/forms"/>
  </ds:schemaRefs>
</ds:datastoreItem>
</file>

<file path=customXml/itemProps3.xml><?xml version="1.0" encoding="utf-8"?>
<ds:datastoreItem xmlns:ds="http://schemas.openxmlformats.org/officeDocument/2006/customXml" ds:itemID="{7BE71645-E9CC-439F-8BF3-2BF618AB6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Arkell</dc:creator>
  <cp:keywords/>
  <dc:description/>
  <cp:lastModifiedBy>Sailer, Natasha</cp:lastModifiedBy>
  <cp:revision>2</cp:revision>
  <dcterms:created xsi:type="dcterms:W3CDTF">2020-04-23T19:53:00Z</dcterms:created>
  <dcterms:modified xsi:type="dcterms:W3CDTF">2020-04-23T19:53:00Z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0x01010084C643EB88D8624FB170980AF5D347DC</vt:lpwstr>
  </property>
</Properties>
</file>